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4401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14:ligatures w14:val="none"/>
        </w:rPr>
        <w:t>EVERGREEN SCHOOL DIVISION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14:ligatures w14:val="none"/>
        </w:rPr>
        <w:br/>
        <w:t>BOARD MEETING AGENDA</w:t>
      </w:r>
      <w:r w:rsidRPr="000D54BA">
        <w:rPr>
          <w:rFonts w:ascii="Arial" w:eastAsia="Times New Roman" w:hAnsi="Arial" w:cs="Arial"/>
          <w:color w:val="444444"/>
          <w:kern w:val="0"/>
          <w:sz w:val="26"/>
          <w:szCs w:val="26"/>
          <w14:ligatures w14:val="none"/>
        </w:rPr>
        <w:br/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14:ligatures w14:val="none"/>
        </w:rPr>
        <w:t>JANUARY 16, 2024</w:t>
      </w:r>
      <w:r w:rsidRPr="000D54BA">
        <w:rPr>
          <w:rFonts w:ascii="Arial" w:eastAsia="Times New Roman" w:hAnsi="Arial" w:cs="Arial"/>
          <w:color w:val="444444"/>
          <w:kern w:val="0"/>
          <w:sz w:val="26"/>
          <w:szCs w:val="26"/>
          <w14:ligatures w14:val="none"/>
        </w:rPr>
        <w:br/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14:ligatures w14:val="none"/>
        </w:rPr>
        <w:t>6:30 PM – TEC CENTRE</w:t>
      </w:r>
    </w:p>
    <w:p w14:paraId="4237F002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5:00   In-Camera</w:t>
      </w:r>
    </w:p>
    <w:p w14:paraId="76FF5FB4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6:30   Inaugural/Regular Meeting</w:t>
      </w:r>
    </w:p>
    <w:p w14:paraId="3E077A92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</w:p>
    <w:p w14:paraId="3FF60862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14:ligatures w14:val="none"/>
        </w:rPr>
        <w:t>AGENDA</w:t>
      </w:r>
    </w:p>
    <w:p w14:paraId="5DE4F518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6"/>
          <w:szCs w:val="26"/>
          <w14:ligatures w14:val="none"/>
        </w:rPr>
        <w:t>REGULAR MEETING</w:t>
      </w:r>
    </w:p>
    <w:p w14:paraId="339B77D4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1.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READING OF TREATY LANDS ACKNOWLEDGEMENT</w:t>
      </w:r>
    </w:p>
    <w:p w14:paraId="6E50DF3F" w14:textId="77777777" w:rsidR="000D54BA" w:rsidRPr="000D54BA" w:rsidRDefault="000D54BA" w:rsidP="000D54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"We acknowledge the traditional territory Evergreen School Division resides upon as Treaty One and Treaty Two territory and the Homeland of the Red River Metis.</w:t>
      </w:r>
    </w:p>
    <w:p w14:paraId="2F916EEC" w14:textId="77777777" w:rsidR="000D54BA" w:rsidRPr="000D54BA" w:rsidRDefault="000D54BA" w:rsidP="000D54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 xml:space="preserve">We honour our partnership with Indigenous peoples and respect the gifts of history, </w:t>
      </w:r>
      <w:proofErr w:type="gramStart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culture</w:t>
      </w:r>
      <w:proofErr w:type="gramEnd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 xml:space="preserve"> and language of the original peoples.  We commit to moving forward in partnership with Indigenous peoples and communities in a spirit of collaboration and reconciliation."</w:t>
      </w:r>
    </w:p>
    <w:p w14:paraId="79591119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</w:p>
    <w:p w14:paraId="68F1E337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2.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READING OF VISION AND MISSION STATEMENTS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Vision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Learning today to improve tomorrow.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Mission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Evergreen School Division will engage students in learning to become contributing citizens of a democratic society.</w:t>
      </w:r>
    </w:p>
    <w:p w14:paraId="173E60D9" w14:textId="77777777" w:rsid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</w:pPr>
    </w:p>
    <w:p w14:paraId="22A6ADFE" w14:textId="5C572BF6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3.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AGENDA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br/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3.</w:t>
      </w:r>
      <w:proofErr w:type="gramStart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1  Adoption</w:t>
      </w:r>
      <w:proofErr w:type="gramEnd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 xml:space="preserve"> of the Agenda</w:t>
      </w:r>
    </w:p>
    <w:p w14:paraId="210519F7" w14:textId="77777777" w:rsid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</w:pPr>
    </w:p>
    <w:p w14:paraId="5D25CC45" w14:textId="4F162E90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4.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MINUTES OF THE LAST BOARD MEETING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br/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4.</w:t>
      </w:r>
      <w:proofErr w:type="gramStart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1  Reading</w:t>
      </w:r>
      <w:proofErr w:type="gramEnd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4.2  Omissions and Errors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4.3  Adoption of Minutes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a)  Minutes from the Regular Board Meeting held December 5, 2023.</w:t>
      </w:r>
      <w:r w:rsidRPr="000D54BA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br/>
        <w:t>  </w:t>
      </w:r>
    </w:p>
    <w:p w14:paraId="3B9F8864" w14:textId="232E86EA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lastRenderedPageBreak/>
        <w:t>5.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SUPERINTENDENT'S DEPARTMENT REPORTS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br/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5.1  </w:t>
      </w:r>
      <w:hyperlink r:id="rId4" w:tgtFrame="_blank" w:history="1">
        <w:r w:rsidRPr="000D54BA">
          <w:rPr>
            <w:rFonts w:ascii="Arial" w:eastAsia="Times New Roman" w:hAnsi="Arial" w:cs="Arial"/>
            <w:color w:val="0072C6"/>
            <w:kern w:val="0"/>
            <w:sz w:val="21"/>
            <w:szCs w:val="21"/>
            <w14:ligatures w14:val="none"/>
          </w:rPr>
          <w:t>Superintendent Report 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a)  Staffing Reports</w:t>
      </w:r>
      <w:r w:rsidRPr="000D54BA">
        <w:rPr>
          <w:rFonts w:ascii="Arial" w:eastAsia="Times New Roman" w:hAnsi="Arial" w:cs="Arial"/>
          <w:color w:val="ED0033"/>
          <w:kern w:val="0"/>
          <w:sz w:val="21"/>
          <w:szCs w:val="21"/>
          <w14:ligatures w14:val="none"/>
        </w:rPr>
        <w:br/>
        <w:t>            -  </w:t>
      </w:r>
      <w:hyperlink r:id="rId5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Professional</w:t>
        </w:r>
      </w:hyperlink>
      <w:r w:rsidRPr="000D54BA">
        <w:rPr>
          <w:rFonts w:ascii="Arial" w:eastAsia="Times New Roman" w:hAnsi="Arial" w:cs="Arial"/>
          <w:color w:val="ED0033"/>
          <w:kern w:val="0"/>
          <w:sz w:val="21"/>
          <w:szCs w:val="21"/>
          <w14:ligatures w14:val="none"/>
        </w:rPr>
        <w:br/>
        <w:t>            -  </w:t>
      </w:r>
      <w:hyperlink r:id="rId6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Support</w:t>
        </w:r>
      </w:hyperlink>
      <w:r w:rsidRPr="000D54BA">
        <w:rPr>
          <w:rFonts w:ascii="Arial" w:eastAsia="Times New Roman" w:hAnsi="Arial" w:cs="Arial"/>
          <w:color w:val="ED0033"/>
          <w:kern w:val="0"/>
          <w:sz w:val="21"/>
          <w:szCs w:val="21"/>
          <w14:ligatures w14:val="none"/>
        </w:rPr>
        <w:br/>
        <w:t>            -  </w:t>
      </w:r>
      <w:hyperlink r:id="rId7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Operations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5.2   Timed item: Presentations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5.3   </w:t>
      </w:r>
      <w:hyperlink r:id="rId8" w:tgtFrame="_blank" w:history="1">
        <w:r w:rsidRPr="000D54BA">
          <w:rPr>
            <w:rFonts w:ascii="Arial" w:eastAsia="Times New Roman" w:hAnsi="Arial" w:cs="Arial"/>
            <w:color w:val="0072C6"/>
            <w:kern w:val="0"/>
            <w:sz w:val="21"/>
            <w:szCs w:val="21"/>
            <w14:ligatures w14:val="none"/>
          </w:rPr>
          <w:t>Secretary-Treasurer Report</w:t>
        </w:r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 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  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</w:r>
    </w:p>
    <w:p w14:paraId="72402B35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6.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COMMITTEE REPORTS</w:t>
      </w:r>
    </w:p>
    <w:p w14:paraId="35A97560" w14:textId="112A5282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 xml:space="preserve">6.1  </w:t>
      </w:r>
      <w:r w:rsidR="00E760BE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 xml:space="preserve">  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Committee of the Whole Board (In-Camera)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6.2    Education Committee of the Whole Board</w:t>
      </w:r>
      <w:r w:rsidR="00E760BE"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 xml:space="preserve"> 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6.3    Finance Committee of the Whole Board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6.4    Board Development Committee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6.5    Audit Committee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6.6    Negotiations Committee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</w:r>
      <w:r w:rsidR="00E760BE">
        <w:rPr>
          <w:rFonts w:ascii="Arial" w:hAnsi="Arial" w:cs="Arial"/>
          <w:color w:val="444444"/>
          <w:sz w:val="21"/>
          <w:szCs w:val="21"/>
          <w:shd w:val="clear" w:color="auto" w:fill="FFFFFF"/>
        </w:rPr>
        <w:t>6.7    Advocacy and Public Relations Committee</w:t>
      </w:r>
      <w:r w:rsidR="00E760BE">
        <w:rPr>
          <w:rFonts w:ascii="Arial" w:hAnsi="Arial" w:cs="Arial"/>
          <w:color w:val="444444"/>
          <w:sz w:val="21"/>
          <w:szCs w:val="21"/>
        </w:rPr>
        <w:br/>
      </w:r>
      <w:r w:rsidR="00E760BE">
        <w:rPr>
          <w:rFonts w:ascii="Arial" w:hAnsi="Arial" w:cs="Arial"/>
          <w:color w:val="444444"/>
          <w:sz w:val="21"/>
          <w:szCs w:val="21"/>
          <w:shd w:val="clear" w:color="auto" w:fill="FFFFFF"/>
        </w:rPr>
        <w:t>         </w:t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a)   </w:t>
      </w:r>
      <w:hyperlink r:id="rId9" w:tgtFrame="_blank" w:history="1">
        <w:r w:rsidR="006C3373">
          <w:rPr>
            <w:rStyle w:val="Hyperlink"/>
            <w:rFonts w:ascii="Arial" w:hAnsi="Arial" w:cs="Arial"/>
            <w:color w:val="05688F"/>
            <w:sz w:val="21"/>
            <w:szCs w:val="21"/>
            <w:shd w:val="clear" w:color="auto" w:fill="FFFFFF"/>
          </w:rPr>
          <w:t>Minutes from the Advocacy &amp; PR Relations Committee Meeting held December 7, 2023</w:t>
        </w:r>
      </w:hyperlink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="006C3373">
        <w:rPr>
          <w:rFonts w:ascii="Arial" w:hAnsi="Arial" w:cs="Arial"/>
          <w:color w:val="444444"/>
          <w:sz w:val="21"/>
          <w:szCs w:val="21"/>
        </w:rPr>
        <w:br/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        b)   </w:t>
      </w:r>
      <w:hyperlink r:id="rId10" w:tgtFrame="_blank" w:history="1">
        <w:r w:rsidR="006C3373">
          <w:rPr>
            <w:rStyle w:val="Hyperlink"/>
            <w:rFonts w:ascii="Arial" w:hAnsi="Arial" w:cs="Arial"/>
            <w:color w:val="05688F"/>
            <w:sz w:val="21"/>
            <w:szCs w:val="21"/>
            <w:shd w:val="clear" w:color="auto" w:fill="FFFFFF"/>
          </w:rPr>
          <w:t>Minutes from the Advocacy &amp; PR Relations Committee Meeting held January 8, 2024</w:t>
        </w:r>
      </w:hyperlink>
      <w:r w:rsidR="006C3373">
        <w:rPr>
          <w:rFonts w:ascii="Arial" w:hAnsi="Arial" w:cs="Arial"/>
          <w:color w:val="444444"/>
          <w:sz w:val="21"/>
          <w:szCs w:val="21"/>
        </w:rPr>
        <w:br/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        c)   </w:t>
      </w:r>
      <w:hyperlink r:id="rId11" w:tgtFrame="_blank" w:history="1">
        <w:r w:rsidR="006C3373">
          <w:rPr>
            <w:rStyle w:val="Hyperlink"/>
            <w:rFonts w:ascii="Arial" w:hAnsi="Arial" w:cs="Arial"/>
            <w:color w:val="05688F"/>
            <w:sz w:val="21"/>
            <w:szCs w:val="21"/>
            <w:shd w:val="clear" w:color="auto" w:fill="FFFFFF"/>
          </w:rPr>
          <w:t>MSBA Email re:  Resolutions</w:t>
        </w:r>
      </w:hyperlink>
      <w:r w:rsidR="006C3373">
        <w:rPr>
          <w:rFonts w:ascii="Arial" w:hAnsi="Arial" w:cs="Arial"/>
          <w:color w:val="444444"/>
          <w:sz w:val="21"/>
          <w:szCs w:val="21"/>
        </w:rPr>
        <w:br/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        d)   </w:t>
      </w:r>
      <w:hyperlink r:id="rId12" w:tgtFrame="_blank" w:history="1">
        <w:r w:rsidR="006C3373">
          <w:rPr>
            <w:rStyle w:val="Hyperlink"/>
            <w:rFonts w:ascii="Arial" w:hAnsi="Arial" w:cs="Arial"/>
            <w:color w:val="05688F"/>
            <w:sz w:val="21"/>
            <w:szCs w:val="21"/>
            <w:shd w:val="clear" w:color="auto" w:fill="FFFFFF"/>
          </w:rPr>
          <w:t>Evergreen SD Draft Resolutions</w:t>
        </w:r>
      </w:hyperlink>
      <w:r w:rsidR="006C3373">
        <w:rPr>
          <w:rFonts w:ascii="Arial" w:hAnsi="Arial" w:cs="Arial"/>
          <w:color w:val="444444"/>
          <w:sz w:val="21"/>
          <w:szCs w:val="21"/>
        </w:rPr>
        <w:br/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6.8    Policy Committee</w:t>
      </w:r>
      <w:r w:rsidR="006C3373">
        <w:rPr>
          <w:rFonts w:ascii="Arial" w:hAnsi="Arial" w:cs="Arial"/>
          <w:color w:val="444444"/>
          <w:sz w:val="21"/>
          <w:szCs w:val="21"/>
        </w:rPr>
        <w:br/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        a)   </w:t>
      </w:r>
      <w:hyperlink r:id="rId13" w:tgtFrame="_blank" w:history="1">
        <w:r w:rsidR="006C3373">
          <w:rPr>
            <w:rStyle w:val="Hyperlink"/>
            <w:rFonts w:ascii="Arial" w:hAnsi="Arial" w:cs="Arial"/>
            <w:color w:val="05688F"/>
            <w:sz w:val="21"/>
            <w:szCs w:val="21"/>
            <w:shd w:val="clear" w:color="auto" w:fill="FFFFFF"/>
          </w:rPr>
          <w:t>Minutes from the Policy Committee Meeting held December 14, 2023</w:t>
        </w:r>
      </w:hyperlink>
      <w:r w:rsidR="006C3373">
        <w:rPr>
          <w:rFonts w:ascii="Arial" w:hAnsi="Arial" w:cs="Arial"/>
          <w:color w:val="444444"/>
          <w:sz w:val="21"/>
          <w:szCs w:val="21"/>
        </w:rPr>
        <w:br/>
      </w:r>
      <w:r w:rsidR="006C3373">
        <w:rPr>
          <w:rFonts w:ascii="Arial" w:hAnsi="Arial" w:cs="Arial"/>
          <w:color w:val="444444"/>
          <w:sz w:val="21"/>
          <w:szCs w:val="21"/>
          <w:shd w:val="clear" w:color="auto" w:fill="FFFFFF"/>
        </w:rPr>
        <w:t>         b)   </w:t>
      </w:r>
      <w:hyperlink r:id="rId14" w:tgtFrame="_blank" w:history="1">
        <w:r w:rsidR="006C3373">
          <w:rPr>
            <w:rStyle w:val="Hyperlink"/>
            <w:rFonts w:ascii="Arial" w:hAnsi="Arial" w:cs="Arial"/>
            <w:color w:val="05688F"/>
            <w:sz w:val="21"/>
            <w:szCs w:val="21"/>
            <w:shd w:val="clear" w:color="auto" w:fill="FFFFFF"/>
          </w:rPr>
          <w:t>Policy 15 </w:t>
        </w:r>
      </w:hyperlink>
      <w:r w:rsidR="00E760BE">
        <w:br/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6.9    Ad Hoc Committee Reports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6.10  Trustee Reports/Motions for Consideration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a)   </w:t>
      </w:r>
      <w:hyperlink r:id="rId15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Considering the Human Experience as an Employer - Kohler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b)   </w:t>
      </w:r>
      <w:hyperlink r:id="rId16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Strategic Risk Management in Governance - Kohler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   </w:t>
      </w:r>
    </w:p>
    <w:p w14:paraId="4108A703" w14:textId="25325503" w:rsid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1" w:themeShade="BF"/>
          <w:kern w:val="0"/>
          <w:sz w:val="21"/>
          <w:szCs w:val="21"/>
          <w:u w:val="single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7.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 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CORRESPONDENCE AND INFORMATION PACKAGE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br/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     a)  MSBA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  </w:t>
      </w:r>
      <w:proofErr w:type="spellStart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i</w:t>
      </w:r>
      <w:proofErr w:type="spellEnd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)    </w:t>
      </w:r>
      <w:hyperlink r:id="rId17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E-News - December 6, 2023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ii)   </w:t>
      </w:r>
      <w:hyperlink r:id="rId18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Convention - Call for Presentations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iii)  </w:t>
      </w:r>
      <w:hyperlink r:id="rId19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Convention - Raffle Donations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iv)  </w:t>
      </w:r>
      <w:hyperlink r:id="rId20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Highlights - December 6, 2023 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v)   </w:t>
      </w:r>
      <w:hyperlink r:id="rId21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Extended Reporting Period for Abuse Insurance Incidents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vi)  </w:t>
      </w:r>
      <w:hyperlink r:id="rId22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Memo-Bill C-322 National Framework for School Food Program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      a)   </w:t>
      </w:r>
      <w:hyperlink r:id="rId23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Template Letter re:  National School Food Policy and Program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vii)  </w:t>
      </w:r>
      <w:hyperlink r:id="rId24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E-News - December 20, 2023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viii) </w:t>
      </w:r>
      <w:hyperlink r:id="rId25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COSL-Winter Conference Program 2024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</w:t>
      </w:r>
      <w:proofErr w:type="spellStart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vix</w:t>
      </w:r>
      <w:proofErr w:type="spellEnd"/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) </w:t>
      </w:r>
      <w:hyperlink r:id="rId26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Appeals Procedure Memo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x)    </w:t>
      </w:r>
      <w:hyperlink r:id="rId27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What's Up In January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xi)   </w:t>
      </w:r>
      <w:hyperlink r:id="rId28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Call for Workshop Presenters &amp; Student Participation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    xii)  </w:t>
      </w:r>
      <w:hyperlink r:id="rId29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Convention Overview &amp; Registration Package</w:t>
        </w:r>
      </w:hyperlink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br/>
        <w:t>           xiii) </w:t>
      </w:r>
      <w:hyperlink r:id="rId30" w:tgtFrame="_blank" w:history="1">
        <w:r w:rsidRPr="000D54BA">
          <w:rPr>
            <w:rFonts w:ascii="Arial" w:eastAsia="Times New Roman" w:hAnsi="Arial" w:cs="Arial"/>
            <w:color w:val="05688F"/>
            <w:kern w:val="0"/>
            <w:sz w:val="21"/>
            <w:szCs w:val="21"/>
            <w:u w:val="single"/>
            <w14:ligatures w14:val="none"/>
          </w:rPr>
          <w:t>E-News - January 10, 2024 </w:t>
        </w:r>
      </w:hyperlink>
      <w:r w:rsidR="00A264DC">
        <w:rPr>
          <w:rFonts w:ascii="Arial" w:eastAsia="Times New Roman" w:hAnsi="Arial" w:cs="Arial"/>
          <w:color w:val="05688F"/>
          <w:kern w:val="0"/>
          <w:sz w:val="21"/>
          <w:szCs w:val="21"/>
          <w:u w:val="single"/>
          <w14:ligatures w14:val="none"/>
        </w:rPr>
        <w:br/>
      </w:r>
      <w:r w:rsidR="00A264DC" w:rsidRPr="00A264DC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          xiv)</w:t>
      </w:r>
      <w:r w:rsidR="00A264DC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="00A264DC" w:rsidRPr="00A264DC">
        <w:rPr>
          <w:rFonts w:ascii="Arial" w:eastAsia="Times New Roman" w:hAnsi="Arial" w:cs="Arial"/>
          <w:color w:val="2F5496" w:themeColor="accent1" w:themeShade="BF"/>
          <w:kern w:val="0"/>
          <w:sz w:val="21"/>
          <w:szCs w:val="21"/>
          <w:u w:val="single"/>
          <w14:ligatures w14:val="none"/>
        </w:rPr>
        <w:t>Policies and Requests for Action</w:t>
      </w:r>
    </w:p>
    <w:p w14:paraId="769075D6" w14:textId="570BE1DE" w:rsidR="006706DD" w:rsidRDefault="006706DD" w:rsidP="006706D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444444"/>
          <w:sz w:val="21"/>
          <w:szCs w:val="21"/>
        </w:rPr>
      </w:pPr>
    </w:p>
    <w:p w14:paraId="311A3FBC" w14:textId="77777777" w:rsidR="006706DD" w:rsidRDefault="006706DD">
      <w:pPr>
        <w:rPr>
          <w:rStyle w:val="Strong"/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>
        <w:rPr>
          <w:rStyle w:val="Strong"/>
          <w:rFonts w:ascii="Arial" w:hAnsi="Arial" w:cs="Arial"/>
          <w:color w:val="444444"/>
          <w:sz w:val="21"/>
          <w:szCs w:val="21"/>
        </w:rPr>
        <w:br w:type="page"/>
      </w:r>
    </w:p>
    <w:p w14:paraId="508B84AF" w14:textId="1F05805D" w:rsidR="006706DD" w:rsidRDefault="006706DD" w:rsidP="006706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Strong"/>
          <w:rFonts w:ascii="Arial" w:hAnsi="Arial" w:cs="Arial"/>
          <w:color w:val="444444"/>
          <w:sz w:val="21"/>
          <w:szCs w:val="21"/>
        </w:rPr>
        <w:lastRenderedPageBreak/>
        <w:t>MEDIA - January 9, 2024</w:t>
      </w:r>
    </w:p>
    <w:p w14:paraId="136E01F2" w14:textId="77777777" w:rsidR="006706DD" w:rsidRDefault="006706DD" w:rsidP="006706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        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i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    </w:t>
      </w:r>
      <w:hyperlink r:id="rId31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Pembina Trails division leader leaving post after two years, introducing controversial time changes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 ii)   </w:t>
      </w:r>
      <w:hyperlink r:id="rId32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Parents weigh in on giving consent for children changing names or pronouns in school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iii)   </w:t>
      </w:r>
      <w:hyperlink r:id="rId33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Let's talk about children and education</w:t>
        </w:r>
      </w:hyperlink>
      <w:r>
        <w:rPr>
          <w:rFonts w:ascii="Arial" w:hAnsi="Arial" w:cs="Arial"/>
          <w:color w:val="444444"/>
          <w:sz w:val="21"/>
          <w:szCs w:val="21"/>
        </w:rPr>
        <w:t>  (John Wiens)     </w:t>
      </w:r>
      <w:hyperlink r:id="rId34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Responses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iv)   </w:t>
      </w:r>
      <w:hyperlink r:id="rId35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Manitoba's new hires to boost Indigenous, French education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v)    </w:t>
      </w:r>
      <w:hyperlink r:id="rId36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Province intervenes in Seine River school board budget fiasco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vi)   </w:t>
      </w:r>
      <w:hyperlink r:id="rId37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Annual salary differentials among Winnipeg vs rural educational support staff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vii)  </w:t>
      </w:r>
      <w:hyperlink r:id="rId38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STREAM project plays it forward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viii) </w:t>
      </w:r>
      <w:hyperlink r:id="rId39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Trustee suspended again for revealing board secrets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vix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 </w:t>
      </w:r>
      <w:hyperlink r:id="rId40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Math instruction isn't adding up: prof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x)    </w:t>
      </w:r>
      <w:hyperlink r:id="rId41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Focus on improving math education</w:t>
        </w:r>
      </w:hyperlink>
      <w:r>
        <w:rPr>
          <w:rFonts w:ascii="Arial" w:hAnsi="Arial" w:cs="Arial"/>
          <w:color w:val="444444"/>
          <w:sz w:val="21"/>
          <w:szCs w:val="21"/>
        </w:rPr>
        <w:br/>
      </w:r>
    </w:p>
    <w:p w14:paraId="7E4D689E" w14:textId="77777777" w:rsidR="006706DD" w:rsidRDefault="006706DD" w:rsidP="006706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Strong"/>
          <w:rFonts w:ascii="Arial" w:hAnsi="Arial" w:cs="Arial"/>
          <w:color w:val="444444"/>
          <w:sz w:val="21"/>
          <w:szCs w:val="21"/>
        </w:rPr>
        <w:t>         MEDIA - January 16, 2024</w:t>
      </w:r>
    </w:p>
    <w:p w14:paraId="7AB36F14" w14:textId="77777777" w:rsidR="006706DD" w:rsidRDefault="006706DD" w:rsidP="006706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        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i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     </w:t>
      </w:r>
      <w:hyperlink r:id="rId42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Specialized support classroom tackles disruptive behaviour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ii)    </w:t>
      </w:r>
      <w:hyperlink r:id="rId43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Missing the point of teaching math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iii)   </w:t>
      </w:r>
      <w:hyperlink r:id="rId44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Letters to the Editor re math instruction isn't adding up</w:t>
        </w:r>
      </w:hyperlink>
      <w:r>
        <w:rPr>
          <w:rFonts w:ascii="Arial" w:hAnsi="Arial" w:cs="Arial"/>
          <w:color w:val="444444"/>
          <w:sz w:val="21"/>
          <w:szCs w:val="21"/>
        </w:rPr>
        <w:t>     </w:t>
      </w:r>
      <w:r>
        <w:rPr>
          <w:rFonts w:ascii="Arial" w:hAnsi="Arial" w:cs="Arial"/>
          <w:color w:val="444444"/>
          <w:sz w:val="21"/>
          <w:szCs w:val="21"/>
        </w:rPr>
        <w:br/>
        <w:t>         iv)   </w:t>
      </w:r>
      <w:hyperlink r:id="rId45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Don't over-emphasize manipulatives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v)    </w:t>
      </w:r>
      <w:hyperlink r:id="rId46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Math education needs high expectations and love  Matt Henderson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vi)   </w:t>
      </w:r>
      <w:hyperlink r:id="rId47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Cheers for the superintendent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vii)  </w:t>
      </w:r>
      <w:hyperlink r:id="rId48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Human rights tribunal to be told Canada is still failing First Nations kids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viii)  </w:t>
      </w:r>
      <w:hyperlink r:id="rId49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A public process to handle teacher misconduct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vix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 </w:t>
      </w:r>
      <w:hyperlink r:id="rId50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Trustees call on province to hike number of Indigenous teachers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x)   </w:t>
      </w:r>
      <w:hyperlink r:id="rId51" w:tgtFrame="_blank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 xml:space="preserve">Tech </w:t>
        </w:r>
        <w:proofErr w:type="spellStart"/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Voc</w:t>
        </w:r>
        <w:proofErr w:type="spellEnd"/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 xml:space="preserve"> takes to the skies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xi)  </w:t>
      </w:r>
      <w:hyperlink r:id="rId52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Turning point for learning</w:t>
        </w:r>
      </w:hyperlink>
      <w:r>
        <w:rPr>
          <w:rFonts w:ascii="Arial" w:hAnsi="Arial" w:cs="Arial"/>
          <w:color w:val="444444"/>
          <w:sz w:val="21"/>
          <w:szCs w:val="21"/>
        </w:rPr>
        <w:br/>
        <w:t>         xii)  </w:t>
      </w:r>
      <w:hyperlink r:id="rId53" w:history="1">
        <w:r>
          <w:rPr>
            <w:rStyle w:val="Hyperlink"/>
            <w:rFonts w:ascii="Arial" w:hAnsi="Arial" w:cs="Arial"/>
            <w:color w:val="05688F"/>
            <w:sz w:val="21"/>
            <w:szCs w:val="21"/>
          </w:rPr>
          <w:t>The benefits of getting rid of grading</w:t>
        </w:r>
      </w:hyperlink>
    </w:p>
    <w:p w14:paraId="1DB5D49D" w14:textId="77777777" w:rsidR="006706DD" w:rsidRPr="000D54BA" w:rsidRDefault="006706DD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</w:p>
    <w:p w14:paraId="72F347AF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8.</w:t>
      </w:r>
      <w:r w:rsidRPr="000D54BA"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  <w:t>    </w:t>
      </w: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ADJOURNMENT </w:t>
      </w:r>
    </w:p>
    <w:p w14:paraId="1ECCE95F" w14:textId="77777777" w:rsidR="000D54BA" w:rsidRPr="000D54BA" w:rsidRDefault="000D54BA" w:rsidP="000D54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14:ligatures w14:val="none"/>
        </w:rPr>
      </w:pPr>
      <w:r w:rsidRPr="000D54BA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14:ligatures w14:val="none"/>
        </w:rPr>
        <w:t>9.    AVAILABILITY FOR QUESTIONS</w:t>
      </w:r>
    </w:p>
    <w:sectPr w:rsidR="000D54BA" w:rsidRPr="000D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BA"/>
    <w:rsid w:val="000D54BA"/>
    <w:rsid w:val="006706DD"/>
    <w:rsid w:val="006C3373"/>
    <w:rsid w:val="009F7647"/>
    <w:rsid w:val="00A264DC"/>
    <w:rsid w:val="00E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8B9E"/>
  <w15:chartTrackingRefBased/>
  <w15:docId w15:val="{40912E01-FA79-44FD-A4F7-E4B8EAD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D54BA"/>
    <w:rPr>
      <w:b/>
      <w:bCs/>
    </w:rPr>
  </w:style>
  <w:style w:type="character" w:customStyle="1" w:styleId="ms-rtethemeforecolor-2-0">
    <w:name w:val="ms-rtethemeforecolor-2-0"/>
    <w:basedOn w:val="DefaultParagraphFont"/>
    <w:rsid w:val="000D54BA"/>
  </w:style>
  <w:style w:type="character" w:customStyle="1" w:styleId="ms-rteforecolor-2">
    <w:name w:val="ms-rteforecolor-2"/>
    <w:basedOn w:val="DefaultParagraphFont"/>
    <w:rsid w:val="000D54BA"/>
  </w:style>
  <w:style w:type="character" w:customStyle="1" w:styleId="ms-rtethemeforecolor-1-4">
    <w:name w:val="ms-rtethemeforecolor-1-4"/>
    <w:basedOn w:val="DefaultParagraphFont"/>
    <w:rsid w:val="000D54BA"/>
  </w:style>
  <w:style w:type="character" w:customStyle="1" w:styleId="ms-rtethemeforecolor-9-0">
    <w:name w:val="ms-rtethemeforecolor-9-0"/>
    <w:basedOn w:val="DefaultParagraphFont"/>
    <w:rsid w:val="000D54BA"/>
  </w:style>
  <w:style w:type="character" w:styleId="Hyperlink">
    <w:name w:val="Hyperlink"/>
    <w:basedOn w:val="DefaultParagraphFont"/>
    <w:uiPriority w:val="99"/>
    <w:semiHidden/>
    <w:unhideWhenUsed/>
    <w:rsid w:val="000D54BA"/>
    <w:rPr>
      <w:color w:val="0000FF"/>
      <w:u w:val="single"/>
    </w:rPr>
  </w:style>
  <w:style w:type="character" w:customStyle="1" w:styleId="ms-rtethemeforecolor-5-0">
    <w:name w:val="ms-rtethemeforecolor-5-0"/>
    <w:basedOn w:val="DefaultParagraphFont"/>
    <w:rsid w:val="000D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esd.ca/group/833d1mc/Documents/Policy%20Committee/121423/Policy%20Committee%20Meeting%20Minutes%20121423.pdf" TargetMode="External"/><Relationship Id="rId18" Type="http://schemas.openxmlformats.org/officeDocument/2006/relationships/hyperlink" Target="https://portal.esd.ca/group/833d1mc/Documents/2023-2024%20Board%20Meetings/2024-01-16%20-%20Regular%20Board/CORRESPONDENCE/Convention%20-%20Call%20for%20Presentations%20120623.pdf" TargetMode="External"/><Relationship Id="rId26" Type="http://schemas.openxmlformats.org/officeDocument/2006/relationships/hyperlink" Target="https://portal.esd.ca/group/833d1mc/Documents/2023-2024%20Board%20Meetings/2024-01-16%20-%20Regular%20Board/CORRESPONDENCE/Appeals%20Procedure%20memo%20011024.pdf" TargetMode="External"/><Relationship Id="rId39" Type="http://schemas.openxmlformats.org/officeDocument/2006/relationships/hyperlink" Target="https://mass.mb.ca/wp-content/uploads/2024/01/Trustee-suspended-again-for-revealing-board-secrets.pdf" TargetMode="External"/><Relationship Id="rId21" Type="http://schemas.openxmlformats.org/officeDocument/2006/relationships/hyperlink" Target="https://portal.esd.ca/group/833d1mc/Documents/2023-2024%20Board%20Meetings/2024-01-16%20-%20Regular%20Board/CORRESPONDENCE/Extended%20Reporting%20Period%20for%20Abuse%20Insurance%20Indicidents%20121423.pdf" TargetMode="External"/><Relationship Id="rId34" Type="http://schemas.openxmlformats.org/officeDocument/2006/relationships/hyperlink" Target="https://mass.mb.ca/wp-content/uploads/2024/01/Responses-to-JW-article.docx?Web=1" TargetMode="External"/><Relationship Id="rId42" Type="http://schemas.openxmlformats.org/officeDocument/2006/relationships/hyperlink" Target="https://mass.mb.ca/wp-content/uploads/2024/01/Specialized-support-classroom-tackles-disruptive-behaviour-Saskatchwan.docx?Web=1" TargetMode="External"/><Relationship Id="rId47" Type="http://schemas.openxmlformats.org/officeDocument/2006/relationships/hyperlink" Target="https://mass.mb.ca/wp-content/uploads/2024/01/Cheers-for-superintendent-15.docx?Web=1" TargetMode="External"/><Relationship Id="rId50" Type="http://schemas.openxmlformats.org/officeDocument/2006/relationships/hyperlink" Target="https://mass.mb.ca/wp-content/uploads/2024/01/Trustees-call-on-province-to-hike-number-of-Indigenous-teachers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ortal.esd.ca/group/833d1mc/Documents/2023-2024%20Board%20Meetings/2024-01-16%20-%20Regular%20Board/STAFFING%20REPORTS/In%20Camera%20and%20Staffing%20Operation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.esd.ca/group/833d1mc/Documents/2023-2024%20Board%20Meetings/2024-01-16%20-%20Regular%20Board/REPORTS/Kohler%20MSBA%20Fall%20Conference%20STRATEGIC%20RISK%20MANAGEMENT.pdf" TargetMode="External"/><Relationship Id="rId29" Type="http://schemas.openxmlformats.org/officeDocument/2006/relationships/hyperlink" Target="https://portal.esd.ca/group/833d1mc/Documents/2023-2024%20Board%20Meetings/2024-01-16%20-%20Regular%20Board/CORRESPONDENCE/Convention%20Registration%20Pkg%20(Memo%20and%20Program%20Overview)%20011024.pdf" TargetMode="External"/><Relationship Id="rId11" Type="http://schemas.openxmlformats.org/officeDocument/2006/relationships/hyperlink" Target="https://portal.esd.ca/group/833d1mc/Documents/2023-2024%20Board%20Meetings/2024-01-16%20-%20Regular%20Board/DOCUMENTS/MSBA%20Email%20resolutions.pdf" TargetMode="External"/><Relationship Id="rId24" Type="http://schemas.openxmlformats.org/officeDocument/2006/relationships/hyperlink" Target="https://portal.esd.ca/group/833d1mc/Documents/2023-2024%20Board%20Meetings/2024-01-16%20-%20Regular%20Board/CORRESPONDENCE/E-news%20122023.pdf" TargetMode="External"/><Relationship Id="rId32" Type="http://schemas.openxmlformats.org/officeDocument/2006/relationships/hyperlink" Target="https://mass.mb.ca/wp-content/uploads/2024/01/Parents-weigh-in-on-giving-consent-for-children-changing-naames-or-pronouns-in-school.pdf" TargetMode="External"/><Relationship Id="rId37" Type="http://schemas.openxmlformats.org/officeDocument/2006/relationships/hyperlink" Target="https://mass.mb.ca/wp-content/uploads/2024/01/Annual-salary-differentials-rural-vs-winnipeg.jpeg" TargetMode="External"/><Relationship Id="rId40" Type="http://schemas.openxmlformats.org/officeDocument/2006/relationships/hyperlink" Target="https://mass.mb.ca/wp-content/uploads/2024/01/math-instruction-isnt-adding-up-prof.pdf" TargetMode="External"/><Relationship Id="rId45" Type="http://schemas.openxmlformats.org/officeDocument/2006/relationships/hyperlink" Target="https://mass.mb.ca/wp-content/uploads/2024/01/Don%E2%80%99t-over-emphasize-manipulatives.docx?Web=1" TargetMode="External"/><Relationship Id="rId53" Type="http://schemas.openxmlformats.org/officeDocument/2006/relationships/hyperlink" Target="https://mass.mb.ca/wp-content/uploads/2024/01/The-benefits-of-getting-rid-of-grading-15.docx?Web=1" TargetMode="External"/><Relationship Id="rId5" Type="http://schemas.openxmlformats.org/officeDocument/2006/relationships/hyperlink" Target="https://portal.esd.ca/group/833d1mc/Documents/2023-2024%20Board%20Meetings/2024-01-16%20-%20Regular%20Board/STAFFING%20REPORTS/In%20Camera%20and%20Staffing%20Professional%202023-2024.pdf" TargetMode="External"/><Relationship Id="rId10" Type="http://schemas.openxmlformats.org/officeDocument/2006/relationships/hyperlink" Target="https://portal.esd.ca/group/833d1mc/Documents/Advocacy%20Items/PR%20Advocacy%20Meeting%20Mintues%20010824.pdf" TargetMode="External"/><Relationship Id="rId19" Type="http://schemas.openxmlformats.org/officeDocument/2006/relationships/hyperlink" Target="https://portal.esd.ca/group/833d1mc/Documents/2023-2024%20Board%20Meetings/2024-01-16%20-%20Regular%20Board/CORRESPONDENCE/Convention%20-%20Raffle%20Donations%20120623.pdf" TargetMode="External"/><Relationship Id="rId31" Type="http://schemas.openxmlformats.org/officeDocument/2006/relationships/hyperlink" Target="https://mass.mb.ca/wp-content/uploads/2024/01/Pembina-Trails-division-leader-leaving-post-after-two-years-introducing-controversial-time-changes.docx?Web=1" TargetMode="External"/><Relationship Id="rId44" Type="http://schemas.openxmlformats.org/officeDocument/2006/relationships/hyperlink" Target="https://mass.mb.ca/wp-content/uploads/2024/01/Letters-to-the-Editor-re-Math-instruction-isnt-adding-up.docx?Web=1" TargetMode="External"/><Relationship Id="rId52" Type="http://schemas.openxmlformats.org/officeDocument/2006/relationships/hyperlink" Target="https://mass.mb.ca/wp-content/uploads/2024/01/Turning-point-for-learning-13.docx?Web=1" TargetMode="External"/><Relationship Id="rId4" Type="http://schemas.openxmlformats.org/officeDocument/2006/relationships/hyperlink" Target="https://portal.esd.ca/group/833d1mc/Documents/2023-2024%20Board%20Meetings/2024-01-16%20-%20Regular%20Board/REPORTS/Superintendents%20Report%20011624.pdf" TargetMode="External"/><Relationship Id="rId9" Type="http://schemas.openxmlformats.org/officeDocument/2006/relationships/hyperlink" Target="https://portal.esd.ca/group/833d1mc/Documents/Advocacy%20Items/PR%20Advocacy%20Meeting%20Mintues%20120723.pdf" TargetMode="External"/><Relationship Id="rId14" Type="http://schemas.openxmlformats.org/officeDocument/2006/relationships/hyperlink" Target="https://portal.esd.ca/group/833d1mc/Documents/Policy%20Committee/121423/Policy%2015.pdf" TargetMode="External"/><Relationship Id="rId22" Type="http://schemas.openxmlformats.org/officeDocument/2006/relationships/hyperlink" Target="https://portal.esd.ca/group/833d1mc/Documents/2023-2024%20Board%20Meetings/2024-01-16%20-%20Regular%20Board/CORRESPONDENCE/Memo%20-%20Bill%20C-322%20National%20Framework%20for%20a%20School%20Food%20Program%20Act%20Dec%202023%20-%20Final%20121423.pdf" TargetMode="External"/><Relationship Id="rId27" Type="http://schemas.openxmlformats.org/officeDocument/2006/relationships/hyperlink" Target="https://www.afmanitoba.ca/community/email/833/" TargetMode="External"/><Relationship Id="rId30" Type="http://schemas.openxmlformats.org/officeDocument/2006/relationships/hyperlink" Target="https://portal.esd.ca/group/833d1mc/Documents/2023-2024%20Board%20Meetings/2024-01-16%20-%20Regular%20Board/CORRESPONDENCE/e-news_January%2010%202024.pdf" TargetMode="External"/><Relationship Id="rId35" Type="http://schemas.openxmlformats.org/officeDocument/2006/relationships/hyperlink" Target="https://mass.mb.ca/wp-content/uploads/2024/01/Manitoba%E2%80%99s-new-hires-to-boost-Indigenous-French-education.pdf" TargetMode="External"/><Relationship Id="rId43" Type="http://schemas.openxmlformats.org/officeDocument/2006/relationships/hyperlink" Target="https://mass.mb.ca/wp-content/uploads/2024/01/Missing-the-point-of-teaching-math.pdf" TargetMode="External"/><Relationship Id="rId48" Type="http://schemas.openxmlformats.org/officeDocument/2006/relationships/hyperlink" Target="https://mass.mb.ca/wp-content/uploads/2024/01/Human-rights-tribunal-to-be-told-Canada-is-still-failing-First-Nations-kids-.docx?Web=1" TargetMode="External"/><Relationship Id="rId8" Type="http://schemas.openxmlformats.org/officeDocument/2006/relationships/hyperlink" Target="https://portal.esd.ca/group/833d1mc/Documents/2023-2024%20Board%20Meetings/2024-01-16%20-%20Regular%20Board/REPORTS/ST%20Report%20011624.pdf" TargetMode="External"/><Relationship Id="rId51" Type="http://schemas.openxmlformats.org/officeDocument/2006/relationships/hyperlink" Target="https://mass.mb.ca/wp-content/uploads/2024/01/Tec-Voc-takes-to-the-skie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rtal.esd.ca/group/833d1mc/Documents/2023-2024%20Board%20Meetings/2024-01-16%20-%20Regular%20Board/DOCUMENTS/Evergreen%20SD%20Draft%20Resolutions%20for%20Consideration.pdf" TargetMode="External"/><Relationship Id="rId17" Type="http://schemas.openxmlformats.org/officeDocument/2006/relationships/hyperlink" Target="https://portal.esd.ca/group/833d1mc/Documents/2023-2024%20Board%20Meetings/2024-01-16%20-%20Regular%20Board/CORRESPONDENCE/E-News%20120623.pdf" TargetMode="External"/><Relationship Id="rId25" Type="http://schemas.openxmlformats.org/officeDocument/2006/relationships/hyperlink" Target="https://portal.esd.ca/group/833d1mc/Documents/2023-2024%20Board%20Meetings/2024-01-16%20-%20Regular%20Board/CORRESPONDENCE/COSL_Winter_Conference_Program_2024%20122023.pdf" TargetMode="External"/><Relationship Id="rId33" Type="http://schemas.openxmlformats.org/officeDocument/2006/relationships/hyperlink" Target="https://mass.mb.ca/wp-content/uploads/2024/01/Lets-talk-about-children-and-education-J-Wiens.pdf" TargetMode="External"/><Relationship Id="rId38" Type="http://schemas.openxmlformats.org/officeDocument/2006/relationships/hyperlink" Target="https://mass.mb.ca/wp-content/uploads/2024/01/STEAM-PROJECT-plays-it-forward.pdf" TargetMode="External"/><Relationship Id="rId46" Type="http://schemas.openxmlformats.org/officeDocument/2006/relationships/hyperlink" Target="https://mass.mb.ca/wp-content/uploads/2024/01/Math-education-needs-high-expectations-and-love.pdf" TargetMode="External"/><Relationship Id="rId20" Type="http://schemas.openxmlformats.org/officeDocument/2006/relationships/hyperlink" Target="https://portal.esd.ca/group/833d1mc/Documents/2023-2024%20Board%20Meetings/2024-01-16%20-%20Regular%20Board/CORRESPONDENCE/Highlights%20120623.pdf" TargetMode="External"/><Relationship Id="rId41" Type="http://schemas.openxmlformats.org/officeDocument/2006/relationships/hyperlink" Target="https://mass.mb.ca/wp-content/uploads/2024/01/Focus-on-improving-math-education.pd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rtal.esd.ca/group/833d1mc/Documents/2023-2024%20Board%20Meetings/2024-01-16%20-%20Regular%20Board/STAFFING%20REPORTS/In%20Camera%20Staffing%20Support%20Staff%202023-2024.pdf" TargetMode="External"/><Relationship Id="rId15" Type="http://schemas.openxmlformats.org/officeDocument/2006/relationships/hyperlink" Target="https://portal.esd.ca/group/833d1mc/Documents/2023-2024%20Board%20Meetings/2024-01-16%20-%20Regular%20Board/REPORTS/Kohler%20MSBA%20Fall%20Conference%20YOU%20as%20Employer%20Report.pdf" TargetMode="External"/><Relationship Id="rId23" Type="http://schemas.openxmlformats.org/officeDocument/2006/relationships/hyperlink" Target="https://portal.esd.ca/group/833d1mc/Documents/2023-2024%20Board%20Meetings/2024-01-16%20-%20Regular%20Board/CORRESPONDENCE/Template%20Letter%20re%20National%20School%20Food%20Policy%20and%20Program%20_ENG%20121423.pdf" TargetMode="External"/><Relationship Id="rId28" Type="http://schemas.openxmlformats.org/officeDocument/2006/relationships/hyperlink" Target="https://portal.esd.ca/group/833d1mc/Documents/2023-2024%20Board%20Meetings/2024-01-16%20-%20Regular%20Board/CORRESPONDENCE/Convention-Call-for-Presentations%20011024.pdf" TargetMode="External"/><Relationship Id="rId36" Type="http://schemas.openxmlformats.org/officeDocument/2006/relationships/hyperlink" Target="https://mass.mb.ca/wp-content/uploads/2024/01/Province-intervenes-in-Seine-River-school-board-budget-fiasco.docx?Web=1" TargetMode="External"/><Relationship Id="rId49" Type="http://schemas.openxmlformats.org/officeDocument/2006/relationships/hyperlink" Target="https://mass.mb.ca/wp-content/uploads/2024/01/A-public-process-to-handle-teacher-miscondu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Desimpelaere</dc:creator>
  <cp:keywords/>
  <dc:description/>
  <cp:lastModifiedBy>Cara Desimpelaere</cp:lastModifiedBy>
  <cp:revision>5</cp:revision>
  <dcterms:created xsi:type="dcterms:W3CDTF">2024-01-15T16:50:00Z</dcterms:created>
  <dcterms:modified xsi:type="dcterms:W3CDTF">2024-01-16T16:12:00Z</dcterms:modified>
</cp:coreProperties>
</file>